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2E54C" w14:textId="77777777" w:rsidR="00AD48A5" w:rsidRPr="00AD48A5" w:rsidRDefault="00AD48A5" w:rsidP="00AD48A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roofErr w:type="spellStart"/>
      <w:r w:rsidRPr="00AD48A5">
        <w:rPr>
          <w:rFonts w:ascii="Lato" w:eastAsia="Times New Roman" w:hAnsi="Lato" w:cs="Times New Roman"/>
          <w:color w:val="CC3300"/>
          <w:kern w:val="36"/>
          <w:sz w:val="36"/>
          <w:szCs w:val="36"/>
          <w:lang w:eastAsia="fr-BE"/>
          <w14:ligatures w14:val="none"/>
        </w:rPr>
        <w:t>Glencore</w:t>
      </w:r>
      <w:proofErr w:type="spellEnd"/>
      <w:r w:rsidRPr="00AD48A5">
        <w:rPr>
          <w:rFonts w:ascii="Lato" w:eastAsia="Times New Roman" w:hAnsi="Lato" w:cs="Times New Roman"/>
          <w:color w:val="CC3300"/>
          <w:kern w:val="36"/>
          <w:sz w:val="36"/>
          <w:szCs w:val="36"/>
          <w:lang w:eastAsia="fr-BE"/>
          <w14:ligatures w14:val="none"/>
        </w:rPr>
        <w:t xml:space="preserve"> prolonge son contrat d'approvisionnement en aluminium avec </w:t>
      </w:r>
      <w:proofErr w:type="spellStart"/>
      <w:r w:rsidRPr="00AD48A5">
        <w:rPr>
          <w:rFonts w:ascii="Lato" w:eastAsia="Times New Roman" w:hAnsi="Lato" w:cs="Times New Roman"/>
          <w:color w:val="CC3300"/>
          <w:kern w:val="36"/>
          <w:sz w:val="36"/>
          <w:szCs w:val="36"/>
          <w:lang w:eastAsia="fr-BE"/>
          <w14:ligatures w14:val="none"/>
        </w:rPr>
        <w:t>Rusal</w:t>
      </w:r>
      <w:proofErr w:type="spellEnd"/>
    </w:p>
    <w:p w14:paraId="0F036A6F" w14:textId="77777777" w:rsidR="00AD48A5" w:rsidRDefault="00AD48A5" w:rsidP="00AD48A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44FE22CD" w14:textId="7051D91F" w:rsidR="00AD48A5" w:rsidRPr="00AD48A5" w:rsidRDefault="00AD48A5" w:rsidP="00AD48A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D48A5">
        <w:rPr>
          <w:rFonts w:ascii="Lato" w:eastAsia="Times New Roman" w:hAnsi="Lato" w:cs="Times New Roman"/>
          <w:b/>
          <w:bCs/>
          <w:color w:val="000000"/>
          <w:kern w:val="0"/>
          <w:sz w:val="23"/>
          <w:szCs w:val="23"/>
          <w:lang w:eastAsia="fr-BE"/>
          <w14:ligatures w14:val="none"/>
        </w:rPr>
        <w:t xml:space="preserve">Le négociant suisse </w:t>
      </w:r>
      <w:proofErr w:type="spellStart"/>
      <w:r w:rsidRPr="00AD48A5">
        <w:rPr>
          <w:rFonts w:ascii="Lato" w:eastAsia="Times New Roman" w:hAnsi="Lato" w:cs="Times New Roman"/>
          <w:b/>
          <w:bCs/>
          <w:color w:val="000000"/>
          <w:kern w:val="0"/>
          <w:sz w:val="23"/>
          <w:szCs w:val="23"/>
          <w:lang w:eastAsia="fr-BE"/>
          <w14:ligatures w14:val="none"/>
        </w:rPr>
        <w:t>Glencore</w:t>
      </w:r>
      <w:proofErr w:type="spellEnd"/>
      <w:r w:rsidRPr="00AD48A5">
        <w:rPr>
          <w:rFonts w:ascii="Lato" w:eastAsia="Times New Roman" w:hAnsi="Lato" w:cs="Times New Roman"/>
          <w:b/>
          <w:bCs/>
          <w:color w:val="000000"/>
          <w:kern w:val="0"/>
          <w:sz w:val="23"/>
          <w:szCs w:val="23"/>
          <w:lang w:eastAsia="fr-BE"/>
          <w14:ligatures w14:val="none"/>
        </w:rPr>
        <w:t xml:space="preserve"> et le producteur d'aluminium russe </w:t>
      </w:r>
      <w:proofErr w:type="spellStart"/>
      <w:r w:rsidRPr="00AD48A5">
        <w:rPr>
          <w:rFonts w:ascii="Lato" w:eastAsia="Times New Roman" w:hAnsi="Lato" w:cs="Times New Roman"/>
          <w:b/>
          <w:bCs/>
          <w:color w:val="000000"/>
          <w:kern w:val="0"/>
          <w:sz w:val="23"/>
          <w:szCs w:val="23"/>
          <w:lang w:eastAsia="fr-BE"/>
          <w14:ligatures w14:val="none"/>
        </w:rPr>
        <w:t>Rusal</w:t>
      </w:r>
      <w:proofErr w:type="spellEnd"/>
      <w:r w:rsidRPr="00AD48A5">
        <w:rPr>
          <w:rFonts w:ascii="Lato" w:eastAsia="Times New Roman" w:hAnsi="Lato" w:cs="Times New Roman"/>
          <w:b/>
          <w:bCs/>
          <w:color w:val="000000"/>
          <w:kern w:val="0"/>
          <w:sz w:val="23"/>
          <w:szCs w:val="23"/>
          <w:lang w:eastAsia="fr-BE"/>
          <w14:ligatures w14:val="none"/>
        </w:rPr>
        <w:t xml:space="preserve"> ont prolongé leur contrat d'approvisionnement à long terme jusqu'à l'année prochaine, les volumes jusqu'à présent échangés n'ayant représenté qu'une partie des volumes maximaux prévus dans l'accord, a révélé une source proche.</w:t>
      </w:r>
    </w:p>
    <w:p w14:paraId="6489EAE3" w14:textId="77777777" w:rsidR="00AD48A5" w:rsidRPr="00AD48A5" w:rsidRDefault="00AD48A5" w:rsidP="00AD48A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D48A5">
        <w:rPr>
          <w:rFonts w:ascii="Lato" w:eastAsia="Times New Roman" w:hAnsi="Lato" w:cs="Times New Roman"/>
          <w:color w:val="000000"/>
          <w:kern w:val="0"/>
          <w:sz w:val="23"/>
          <w:szCs w:val="23"/>
          <w:lang w:eastAsia="fr-BE"/>
          <w14:ligatures w14:val="none"/>
        </w:rPr>
        <w:t> </w:t>
      </w:r>
    </w:p>
    <w:p w14:paraId="1A04ED32" w14:textId="77777777" w:rsidR="00AD48A5" w:rsidRPr="00AD48A5" w:rsidRDefault="00AD48A5" w:rsidP="00AD48A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D48A5">
        <w:rPr>
          <w:rFonts w:ascii="Lato" w:eastAsia="Times New Roman" w:hAnsi="Lato" w:cs="Times New Roman"/>
          <w:color w:val="000000"/>
          <w:kern w:val="0"/>
          <w:sz w:val="23"/>
          <w:szCs w:val="23"/>
          <w:lang w:eastAsia="fr-BE"/>
          <w14:ligatures w14:val="none"/>
        </w:rPr>
        <w:t>Le contrat devait expirer cette année. </w:t>
      </w:r>
      <w:proofErr w:type="spellStart"/>
      <w:r w:rsidRPr="00AD48A5">
        <w:rPr>
          <w:rFonts w:ascii="Lato" w:eastAsia="Times New Roman" w:hAnsi="Lato" w:cs="Times New Roman"/>
          <w:b/>
          <w:bCs/>
          <w:color w:val="000000"/>
          <w:kern w:val="0"/>
          <w:sz w:val="23"/>
          <w:szCs w:val="23"/>
          <w:lang w:eastAsia="fr-BE"/>
          <w14:ligatures w14:val="none"/>
        </w:rPr>
        <w:t>Rusal</w:t>
      </w:r>
      <w:proofErr w:type="spellEnd"/>
      <w:r w:rsidRPr="00AD48A5">
        <w:rPr>
          <w:rFonts w:ascii="Lato" w:eastAsia="Times New Roman" w:hAnsi="Lato" w:cs="Times New Roman"/>
          <w:b/>
          <w:bCs/>
          <w:color w:val="000000"/>
          <w:kern w:val="0"/>
          <w:sz w:val="23"/>
          <w:szCs w:val="23"/>
          <w:lang w:eastAsia="fr-BE"/>
          <w14:ligatures w14:val="none"/>
        </w:rPr>
        <w:t> </w:t>
      </w:r>
      <w:r w:rsidRPr="00AD48A5">
        <w:rPr>
          <w:rFonts w:ascii="Lato" w:eastAsia="Times New Roman" w:hAnsi="Lato" w:cs="Times New Roman"/>
          <w:color w:val="000000"/>
          <w:kern w:val="0"/>
          <w:sz w:val="23"/>
          <w:szCs w:val="23"/>
          <w:lang w:eastAsia="fr-BE"/>
          <w14:ligatures w14:val="none"/>
        </w:rPr>
        <w:t>n’étant pas directement visé par les sanctions occidentales, </w:t>
      </w:r>
      <w:proofErr w:type="spellStart"/>
      <w:r w:rsidRPr="00AD48A5">
        <w:rPr>
          <w:rFonts w:ascii="Lato" w:eastAsia="Times New Roman" w:hAnsi="Lato" w:cs="Times New Roman"/>
          <w:b/>
          <w:bCs/>
          <w:color w:val="000000"/>
          <w:kern w:val="0"/>
          <w:sz w:val="23"/>
          <w:szCs w:val="23"/>
          <w:lang w:eastAsia="fr-BE"/>
          <w14:ligatures w14:val="none"/>
        </w:rPr>
        <w:t>Glencore</w:t>
      </w:r>
      <w:proofErr w:type="spellEnd"/>
      <w:r w:rsidRPr="00AD48A5">
        <w:rPr>
          <w:rFonts w:ascii="Lato" w:eastAsia="Times New Roman" w:hAnsi="Lato" w:cs="Times New Roman"/>
          <w:color w:val="000000"/>
          <w:kern w:val="0"/>
          <w:sz w:val="23"/>
          <w:szCs w:val="23"/>
          <w:lang w:eastAsia="fr-BE"/>
          <w14:ligatures w14:val="none"/>
        </w:rPr>
        <w:t> est légalement tenu de poursuivre le contrat, argue la source.</w:t>
      </w:r>
    </w:p>
    <w:p w14:paraId="4A0C4BC3" w14:textId="77777777" w:rsidR="00AD48A5" w:rsidRPr="00AD48A5" w:rsidRDefault="00AD48A5" w:rsidP="00AD48A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D48A5">
        <w:rPr>
          <w:rFonts w:ascii="Lato" w:eastAsia="Times New Roman" w:hAnsi="Lato" w:cs="Times New Roman"/>
          <w:color w:val="000000"/>
          <w:kern w:val="0"/>
          <w:sz w:val="23"/>
          <w:szCs w:val="23"/>
          <w:lang w:eastAsia="fr-BE"/>
          <w14:ligatures w14:val="none"/>
        </w:rPr>
        <w:t>Depuis mars, la bourse de Londres refuse l'aluminium, le cuivre et le nickel russes produits depuis le 13 avril, conformément aux dernières sanctions américaines et britanniques qui viennent s’ajouter aux précédents trains de mesures.</w:t>
      </w:r>
    </w:p>
    <w:p w14:paraId="54C3654F" w14:textId="77777777" w:rsidR="00AD48A5" w:rsidRPr="00AD48A5" w:rsidRDefault="00AD48A5" w:rsidP="00AD48A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D48A5">
        <w:rPr>
          <w:rFonts w:ascii="Lato" w:eastAsia="Times New Roman" w:hAnsi="Lato" w:cs="Times New Roman"/>
          <w:color w:val="000000"/>
          <w:kern w:val="0"/>
          <w:sz w:val="23"/>
          <w:szCs w:val="23"/>
          <w:lang w:eastAsia="fr-BE"/>
          <w14:ligatures w14:val="none"/>
        </w:rPr>
        <w:t>Au cours des quatre premières années du contrat (à fin 2023), </w:t>
      </w:r>
      <w:proofErr w:type="spellStart"/>
      <w:r w:rsidRPr="00AD48A5">
        <w:rPr>
          <w:rFonts w:ascii="Lato" w:eastAsia="Times New Roman" w:hAnsi="Lato" w:cs="Times New Roman"/>
          <w:b/>
          <w:bCs/>
          <w:color w:val="000000"/>
          <w:kern w:val="0"/>
          <w:sz w:val="23"/>
          <w:szCs w:val="23"/>
          <w:lang w:eastAsia="fr-BE"/>
          <w14:ligatures w14:val="none"/>
        </w:rPr>
        <w:t>Glencore</w:t>
      </w:r>
      <w:proofErr w:type="spellEnd"/>
      <w:r w:rsidRPr="00AD48A5">
        <w:rPr>
          <w:rFonts w:ascii="Lato" w:eastAsia="Times New Roman" w:hAnsi="Lato" w:cs="Times New Roman"/>
          <w:b/>
          <w:bCs/>
          <w:color w:val="000000"/>
          <w:kern w:val="0"/>
          <w:sz w:val="23"/>
          <w:szCs w:val="23"/>
          <w:lang w:eastAsia="fr-BE"/>
          <w14:ligatures w14:val="none"/>
        </w:rPr>
        <w:t> </w:t>
      </w:r>
      <w:r w:rsidRPr="00AD48A5">
        <w:rPr>
          <w:rFonts w:ascii="Lato" w:eastAsia="Times New Roman" w:hAnsi="Lato" w:cs="Times New Roman"/>
          <w:color w:val="000000"/>
          <w:kern w:val="0"/>
          <w:sz w:val="23"/>
          <w:szCs w:val="23"/>
          <w:lang w:eastAsia="fr-BE"/>
          <w14:ligatures w14:val="none"/>
        </w:rPr>
        <w:t>a réceptionné près d’un tiers du maximum des 5,24 millions de tonnes métriques mentionnées dans le contrat.</w:t>
      </w:r>
    </w:p>
    <w:p w14:paraId="2CCB2E5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A5"/>
    <w:rsid w:val="00287462"/>
    <w:rsid w:val="00965F7A"/>
    <w:rsid w:val="00AD48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B287"/>
  <w15:chartTrackingRefBased/>
  <w15:docId w15:val="{A1E06160-6205-4D62-BF0F-CDB419D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4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4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48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48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48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48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48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48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48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48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48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48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48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48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48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48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48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48A5"/>
    <w:rPr>
      <w:rFonts w:eastAsiaTheme="majorEastAsia" w:cstheme="majorBidi"/>
      <w:color w:val="272727" w:themeColor="text1" w:themeTint="D8"/>
    </w:rPr>
  </w:style>
  <w:style w:type="paragraph" w:styleId="Titre">
    <w:name w:val="Title"/>
    <w:basedOn w:val="Normal"/>
    <w:next w:val="Normal"/>
    <w:link w:val="TitreCar"/>
    <w:uiPriority w:val="10"/>
    <w:qFormat/>
    <w:rsid w:val="00AD4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48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48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48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48A5"/>
    <w:pPr>
      <w:spacing w:before="160"/>
      <w:jc w:val="center"/>
    </w:pPr>
    <w:rPr>
      <w:i/>
      <w:iCs/>
      <w:color w:val="404040" w:themeColor="text1" w:themeTint="BF"/>
    </w:rPr>
  </w:style>
  <w:style w:type="character" w:customStyle="1" w:styleId="CitationCar">
    <w:name w:val="Citation Car"/>
    <w:basedOn w:val="Policepardfaut"/>
    <w:link w:val="Citation"/>
    <w:uiPriority w:val="29"/>
    <w:rsid w:val="00AD48A5"/>
    <w:rPr>
      <w:i/>
      <w:iCs/>
      <w:color w:val="404040" w:themeColor="text1" w:themeTint="BF"/>
    </w:rPr>
  </w:style>
  <w:style w:type="paragraph" w:styleId="Paragraphedeliste">
    <w:name w:val="List Paragraph"/>
    <w:basedOn w:val="Normal"/>
    <w:uiPriority w:val="34"/>
    <w:qFormat/>
    <w:rsid w:val="00AD48A5"/>
    <w:pPr>
      <w:ind w:left="720"/>
      <w:contextualSpacing/>
    </w:pPr>
  </w:style>
  <w:style w:type="character" w:styleId="Accentuationintense">
    <w:name w:val="Intense Emphasis"/>
    <w:basedOn w:val="Policepardfaut"/>
    <w:uiPriority w:val="21"/>
    <w:qFormat/>
    <w:rsid w:val="00AD48A5"/>
    <w:rPr>
      <w:i/>
      <w:iCs/>
      <w:color w:val="0F4761" w:themeColor="accent1" w:themeShade="BF"/>
    </w:rPr>
  </w:style>
  <w:style w:type="paragraph" w:styleId="Citationintense">
    <w:name w:val="Intense Quote"/>
    <w:basedOn w:val="Normal"/>
    <w:next w:val="Normal"/>
    <w:link w:val="CitationintenseCar"/>
    <w:uiPriority w:val="30"/>
    <w:qFormat/>
    <w:rsid w:val="00AD4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48A5"/>
    <w:rPr>
      <w:i/>
      <w:iCs/>
      <w:color w:val="0F4761" w:themeColor="accent1" w:themeShade="BF"/>
    </w:rPr>
  </w:style>
  <w:style w:type="character" w:styleId="Rfrenceintense">
    <w:name w:val="Intense Reference"/>
    <w:basedOn w:val="Policepardfaut"/>
    <w:uiPriority w:val="32"/>
    <w:qFormat/>
    <w:rsid w:val="00AD4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1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819</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2024-05-27T09:10:00Z</dcterms:created>
  <dcterms:modified xsi:type="dcterms:W3CDTF">2024-05-27T09:10:00Z</dcterms:modified>
</cp:coreProperties>
</file>